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FA3A1" w14:textId="77777777" w:rsidR="007A7D8C" w:rsidRDefault="007A7D8C" w:rsidP="007A7D8C">
      <w:pPr>
        <w:spacing w:after="0" w:line="240" w:lineRule="auto"/>
        <w:jc w:val="center"/>
        <w:rPr>
          <w:noProof/>
          <w:lang w:eastAsia="ru-RU"/>
        </w:rPr>
      </w:pPr>
    </w:p>
    <w:p w14:paraId="42450857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4B83E" wp14:editId="6B7CCEBB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BE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B09A2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3C3D737A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3BC38" wp14:editId="4628738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F7B54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C83F12E" w14:textId="77777777" w:rsidR="007A7D8C" w:rsidRPr="009A4A45" w:rsidRDefault="007A7D8C" w:rsidP="007A7D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983BB99" w14:textId="77777777" w:rsidR="009A4A45" w:rsidRPr="00B5129D" w:rsidRDefault="009A4A45" w:rsidP="007A7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82DBB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A4"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68F255D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170A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95718" w14:textId="77777777" w:rsidR="007A7D8C" w:rsidRDefault="007A7D8C" w:rsidP="007A7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(внесение изменений в них)</w:t>
      </w:r>
    </w:p>
    <w:p w14:paraId="51AF2CBA" w14:textId="3B320C02" w:rsidR="007A7D8C" w:rsidRPr="0078611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786114">
        <w:rPr>
          <w:rFonts w:ascii="Times New Roman" w:hAnsi="Times New Roman"/>
          <w:b/>
          <w:sz w:val="28"/>
          <w:szCs w:val="26"/>
        </w:rPr>
        <w:t xml:space="preserve">за </w:t>
      </w:r>
      <w:r w:rsidR="00833F9D">
        <w:rPr>
          <w:rFonts w:ascii="Times New Roman" w:hAnsi="Times New Roman"/>
          <w:b/>
          <w:sz w:val="28"/>
          <w:szCs w:val="26"/>
        </w:rPr>
        <w:t>3</w:t>
      </w:r>
      <w:r w:rsidRPr="0078611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квартал</w:t>
      </w:r>
      <w:r w:rsidRPr="00786114">
        <w:rPr>
          <w:rFonts w:ascii="Times New Roman" w:hAnsi="Times New Roman"/>
          <w:b/>
          <w:sz w:val="28"/>
          <w:szCs w:val="26"/>
        </w:rPr>
        <w:t xml:space="preserve"> 2024г.</w:t>
      </w:r>
    </w:p>
    <w:p w14:paraId="4853C2E5" w14:textId="77777777" w:rsidR="007A7D8C" w:rsidRPr="009170A4" w:rsidRDefault="007A7D8C" w:rsidP="007A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68B789" w14:textId="77777777" w:rsidR="007A7D8C" w:rsidRDefault="007A7D8C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66CC8BC4" w14:textId="77777777" w:rsidR="009A4A45" w:rsidRPr="00E725C7" w:rsidRDefault="009A4A45" w:rsidP="007A7D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  <w:lang w:eastAsia="ru-RU"/>
        </w:rPr>
      </w:pPr>
    </w:p>
    <w:p w14:paraId="5C55F5A2" w14:textId="77777777" w:rsidR="007A7D8C" w:rsidRPr="00E44226" w:rsidRDefault="007A7D8C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в соответствии с требованиями статьи 9 </w:t>
      </w:r>
      <w:bookmarkStart w:id="0" w:name="_Hlk92200911"/>
      <w:r w:rsidRPr="00E44226">
        <w:rPr>
          <w:rFonts w:ascii="Times New Roman" w:hAnsi="Times New Roman" w:cs="Times New Roman"/>
          <w:sz w:val="28"/>
          <w:szCs w:val="28"/>
        </w:rPr>
        <w:t>Федерального закона от 07.02.2011 №6-ФЗ</w:t>
      </w:r>
      <w:bookmarkEnd w:id="0"/>
      <w:r w:rsidRPr="00E4422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 РФ и муниципальных образований», на основании пункта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226">
        <w:rPr>
          <w:rFonts w:ascii="Times New Roman" w:hAnsi="Times New Roman" w:cs="Times New Roman"/>
          <w:sz w:val="28"/>
          <w:szCs w:val="28"/>
        </w:rPr>
        <w:t xml:space="preserve"> раздела </w:t>
      </w:r>
      <w:r w:rsidRPr="00E442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22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ЗГО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2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D3326" w14:textId="77777777" w:rsidR="007A7D8C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26">
        <w:rPr>
          <w:rFonts w:ascii="Times New Roman" w:hAnsi="Times New Roman" w:cs="Times New Roman"/>
          <w:sz w:val="28"/>
          <w:szCs w:val="28"/>
        </w:rPr>
        <w:t xml:space="preserve">Цель экспертно-аналитического мероприятия: исследование проектов муниципальных программ (проектов </w:t>
      </w:r>
      <w:bookmarkStart w:id="1" w:name="_Hlk99964335"/>
      <w:r w:rsidRPr="00E44226">
        <w:rPr>
          <w:rFonts w:ascii="Times New Roman" w:hAnsi="Times New Roman" w:cs="Times New Roman"/>
          <w:sz w:val="28"/>
          <w:szCs w:val="28"/>
        </w:rPr>
        <w:t>об изменении муниципальных программ</w:t>
      </w:r>
      <w:bookmarkEnd w:id="1"/>
      <w:r w:rsidRPr="00E44226">
        <w:rPr>
          <w:rFonts w:ascii="Times New Roman" w:hAnsi="Times New Roman" w:cs="Times New Roman"/>
          <w:sz w:val="28"/>
          <w:szCs w:val="28"/>
        </w:rPr>
        <w:t>) на предмет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016D7" w14:textId="77777777" w:rsidR="007A7D8C" w:rsidRPr="00786114" w:rsidRDefault="007A7D8C" w:rsidP="007A7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29D">
        <w:rPr>
          <w:rFonts w:ascii="Times New Roman" w:hAnsi="Times New Roman" w:cs="Times New Roman"/>
          <w:sz w:val="28"/>
          <w:szCs w:val="28"/>
        </w:rPr>
        <w:t xml:space="preserve">Требования к муниципальным программам установлены статьей 179 Бюджетного кодекса РФ, а также Порядком разработки, реализации и оценки </w:t>
      </w:r>
      <w:r w:rsidRPr="00786114">
        <w:rPr>
          <w:rFonts w:ascii="Times New Roman" w:hAnsi="Times New Roman" w:cs="Times New Roman"/>
          <w:sz w:val="28"/>
          <w:szCs w:val="28"/>
        </w:rPr>
        <w:t>эффективности муниципальных программ Златоустовского городского округа, утвержденным Постановлением Администрации Златоустовского городского округа от 23.06.2011 г. №252-п (далее – Порядок разработки муниципальных программ).</w:t>
      </w:r>
    </w:p>
    <w:p w14:paraId="2A590E5F" w14:textId="7D9151C1" w:rsidR="007A7D8C" w:rsidRPr="00786114" w:rsidRDefault="00712ECC" w:rsidP="007A7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CC">
        <w:rPr>
          <w:rFonts w:ascii="Times New Roman" w:hAnsi="Times New Roman" w:cs="Times New Roman"/>
          <w:sz w:val="28"/>
          <w:szCs w:val="28"/>
        </w:rPr>
        <w:t>В 3 квартале 2024 г. Контрольно-счетной палатой ЗГО подготовлены заключения на 13 (тринадцать) проектов муниципальных программ (внесения изменений в них).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8C" w:rsidRPr="00786114">
        <w:rPr>
          <w:rFonts w:ascii="Times New Roman" w:hAnsi="Times New Roman" w:cs="Times New Roman"/>
          <w:sz w:val="28"/>
          <w:szCs w:val="28"/>
        </w:rPr>
        <w:t>Результаты экспертизы проектов муниципальных программ отражены в соответствующих заключениях.</w:t>
      </w:r>
    </w:p>
    <w:p w14:paraId="35892B4D" w14:textId="77777777" w:rsidR="007A7D8C" w:rsidRPr="00786114" w:rsidRDefault="007A7D8C" w:rsidP="007A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4"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экспертизы установлено, что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78611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6114">
        <w:rPr>
          <w:rFonts w:ascii="Times New Roman" w:hAnsi="Times New Roman" w:cs="Times New Roman"/>
          <w:sz w:val="28"/>
          <w:szCs w:val="28"/>
        </w:rPr>
        <w:t xml:space="preserve"> муниципальных программ соответствовали требованиям бюджетного законодательства:</w:t>
      </w:r>
    </w:p>
    <w:p w14:paraId="73DF100B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В результате проведения экспертизы установлено, что пять Проектов муниципальных программ соответствовали требованиям бюджетного законодательства:</w:t>
      </w:r>
    </w:p>
    <w:p w14:paraId="4F775B86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№504-П/АДМ «Об утверждении муниципальной программы Златоустовского городского округа «Совершенствование муниципального управления»;</w:t>
      </w:r>
    </w:p>
    <w:p w14:paraId="30FF0251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№503-П/АДМ «Об утверждении муниципальной программы Златоустовского городского округа «Развитие культуры в Златоустовском городском округе»;</w:t>
      </w:r>
    </w:p>
    <w:p w14:paraId="4208A0B6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Златоустовского городского округа от 17.11.2021 №517-П/АДМ «Об </w:t>
      </w:r>
      <w:r w:rsidRPr="00AE0166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округа»;</w:t>
      </w:r>
    </w:p>
    <w:p w14:paraId="600A444D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06.12.2013 №505-П «Об утверждении муниципальной программы Златоустовского городского округа «Обеспечение качественным жильем населения Златоустовского городского округа»;</w:t>
      </w:r>
    </w:p>
    <w:p w14:paraId="04EB242E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ЗГО».</w:t>
      </w:r>
    </w:p>
    <w:p w14:paraId="19FEE41F" w14:textId="77777777" w:rsid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В восьми представленных проектах муниципальных программ установлены нарушения и недостатки, требующие внимания со стороны ответственных исполнителей.</w:t>
      </w:r>
    </w:p>
    <w:p w14:paraId="56C6A6A5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В рамках предварительного контроля выявлено 15 (пятнадцать) нарушений требований Порядка разработки муниципальных программ, такие как:</w:t>
      </w:r>
    </w:p>
    <w:p w14:paraId="1DF3FC75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несоблюдение сроков внесения изменений в муниципальные программы (нарушение пункта 25-2 Порядка №252-п) – 5 нарушений или 33,3% от общего количества выявленных нарушений Порядка №252-п;</w:t>
      </w:r>
    </w:p>
    <w:p w14:paraId="3428D94A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несогласование проектов внесения изменений в муниципальные программы всеми соисполнителями (нарушение пункта 22 Порядка №252-п) –     2 нарушения или 13,3% от общего количества выявленных нарушений Порядка №252-п;</w:t>
      </w:r>
    </w:p>
    <w:p w14:paraId="1E24BBFC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несоответствие решению о бюджете проекта внесения изменения в муниципальную программу (нарушение пункта 25-2 Порядка №252-п) –                   1 нарушение или 6,7% от общего количества выявленных нарушений Порядка №252-п;</w:t>
      </w:r>
    </w:p>
    <w:p w14:paraId="024C6CB2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несоблюдение требований к содержанию муниципальных программ (нарушение раздела Ⅱ Порядка №252-п) – 7 нарушений или 46,7% от общего количества выявленных нарушений Порядка №252-п (несоблюдение требований к обоснованию состава и значений целевых индикаторов муниципальной программы, отсутствие необходимого основного мероприятия в перечне основных мероприятий, отсутствие информации по объему финансирования соисполнителей муниципальной программы).</w:t>
      </w:r>
    </w:p>
    <w:p w14:paraId="48F29A57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Кроме того, при проведении экспертизы представленных проектов муниципальных программ установлены иные нарушения, а именно:</w:t>
      </w:r>
    </w:p>
    <w:p w14:paraId="1E17E5DC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нарушение юридической техники (2 нарушения);</w:t>
      </w:r>
    </w:p>
    <w:p w14:paraId="15D9E2C5" w14:textId="77777777" w:rsidR="00AE0166" w:rsidRPr="00AE0166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техническая ошибка (2 нарушения);</w:t>
      </w:r>
    </w:p>
    <w:p w14:paraId="74620590" w14:textId="77777777" w:rsidR="002F780D" w:rsidRDefault="00AE0166" w:rsidP="00AE0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166">
        <w:rPr>
          <w:rFonts w:ascii="Times New Roman" w:hAnsi="Times New Roman" w:cs="Times New Roman"/>
          <w:sz w:val="28"/>
          <w:szCs w:val="28"/>
        </w:rPr>
        <w:t>- арифметическая ошибка (1 нарушение).</w:t>
      </w:r>
    </w:p>
    <w:p w14:paraId="5762B6DF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Требованиями Порядка разработки муниципальных программ установлено, что внесение изменений в ранее утверждённые муниципальные программы, производится в соответствие с решением о бюджете на очередной финансовый год (на очередной финансовый год и плановый период) не позднее двух месяцев со дня вступления его в силу.</w:t>
      </w:r>
    </w:p>
    <w:p w14:paraId="010E7A9B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lastRenderedPageBreak/>
        <w:t>Пять проектов муниципальных программ поступили в Контрольно-счетную палату ЗГО для проведения экспертизы с нарушением установленного срока, что является нарушением бюджетного законодательства:</w:t>
      </w:r>
    </w:p>
    <w:p w14:paraId="23824DDF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№507-П/АДМ «Об утверждении муниципальной программы Златоустовского городского округа «Развитие образования и молодежной политики ЗГО»;</w:t>
      </w:r>
    </w:p>
    <w:p w14:paraId="58F23B61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№508-П/АДМ «Об утверждении муниципальной программы Златоустовского городского округа «Охрана окружающей среды в ЗГО»;</w:t>
      </w:r>
    </w:p>
    <w:p w14:paraId="5FDCD5A3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№505-П/АДМ «Об утверждении муниципальной программы Златоустовского городского округа «Развитие физической культуры и спорта в ЗГО»;</w:t>
      </w:r>
    </w:p>
    <w:p w14:paraId="35FCA4D5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№505-П «Об утверждении муниципальной программы Златоустовского городского округа «Профилактика правонарушений и противодействие терроризму в ЗГО»;</w:t>
      </w:r>
    </w:p>
    <w:p w14:paraId="384C5852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17.11.2023 №427-П/АДМ «Об утверждении муниципальной программы Златоустовского городского округа «Обеспечение качественными услугам жилищно-коммунального хозяйства населения, дорожной деятельности и транспорта Златоустовского городского округа».</w:t>
      </w:r>
    </w:p>
    <w:p w14:paraId="63E50C91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Так же, Порядком разработки муниципальных программ предусмотрено согласование проекта муниципальной программы всеми соисполнителями.</w:t>
      </w:r>
    </w:p>
    <w:p w14:paraId="651FFB27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Два проекта муниципальных программ поступили в Контрольно-счетную палату ЗГО для проведения экспертизы не согласованными соисполнителями, что является нарушением Порядка №252-п:</w:t>
      </w:r>
    </w:p>
    <w:p w14:paraId="16F2F743" w14:textId="77777777" w:rsidR="002F780D" w:rsidRPr="002F780D" w:rsidRDefault="002F780D" w:rsidP="002F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18.11.2022 №507-П/АДМ «Об утверждении муниципальной программы Златоустовского городского округа «Развитие образования и молодежной политики ЗГО»;</w:t>
      </w:r>
    </w:p>
    <w:p w14:paraId="123C1B53" w14:textId="2495447F" w:rsidR="002F780D" w:rsidRPr="00833F9D" w:rsidRDefault="002F780D" w:rsidP="008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0D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Златоустовского городского округа от 17.11.2023 №427-П/АДМ «Об утверждении муниципальной программы Златоустовского городского округа «Обеспечение качественными услугам жилищно-коммунального хозяйства населения, дорожной деятельности и транспорта Златоустовского городского округа».</w:t>
      </w:r>
    </w:p>
    <w:p w14:paraId="31269E4E" w14:textId="77777777" w:rsidR="008C74E5" w:rsidRPr="008C74E5" w:rsidRDefault="008C74E5" w:rsidP="008C7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нарушения в части несоблюдения сроков внесения изменений в муниципальные программы и несогласование проектов внесения изменений в муниципальные программы всеми соисполнителями являются неустранимыми. </w:t>
      </w:r>
    </w:p>
    <w:p w14:paraId="3193EADB" w14:textId="387E1063" w:rsidR="008C74E5" w:rsidRPr="008C74E5" w:rsidRDefault="009A4A45" w:rsidP="008C7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4E5" w:rsidRPr="008C74E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всеми ответственными разработчиками проектов муниципальных программ приняты во внимание предложенные рекомендации по устранению выявленных нарушений и недостатков.</w:t>
      </w:r>
    </w:p>
    <w:p w14:paraId="12A5A934" w14:textId="77777777" w:rsidR="008C74E5" w:rsidRDefault="008C74E5" w:rsidP="008C7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Подробная информация об исполнении рекомендаций КСП ЗГО представлена в таблице:</w:t>
      </w:r>
    </w:p>
    <w:p w14:paraId="5466451C" w14:textId="77777777" w:rsidR="00833F9D" w:rsidRPr="008C74E5" w:rsidRDefault="00833F9D" w:rsidP="008C7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542"/>
        <w:gridCol w:w="1244"/>
        <w:gridCol w:w="3355"/>
      </w:tblGrid>
      <w:tr w:rsidR="008C74E5" w:rsidRPr="008C74E5" w14:paraId="0FA41ED6" w14:textId="77777777" w:rsidTr="00833F9D">
        <w:trPr>
          <w:tblHeader/>
        </w:trPr>
        <w:tc>
          <w:tcPr>
            <w:tcW w:w="486" w:type="dxa"/>
          </w:tcPr>
          <w:p w14:paraId="08A0D616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2" w:type="dxa"/>
          </w:tcPr>
          <w:p w14:paraId="1D41C351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постановления Администрации ЗГО</w:t>
            </w:r>
          </w:p>
        </w:tc>
        <w:tc>
          <w:tcPr>
            <w:tcW w:w="1244" w:type="dxa"/>
          </w:tcPr>
          <w:p w14:paraId="7EEEAC2D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КСП ЗГО (№, дата)</w:t>
            </w:r>
          </w:p>
        </w:tc>
        <w:tc>
          <w:tcPr>
            <w:tcW w:w="3355" w:type="dxa"/>
          </w:tcPr>
          <w:p w14:paraId="25502B91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рекомендаций КСП ЗГО</w:t>
            </w:r>
          </w:p>
        </w:tc>
      </w:tr>
      <w:tr w:rsidR="008C74E5" w:rsidRPr="008C74E5" w14:paraId="67AC7407" w14:textId="77777777" w:rsidTr="00833F9D">
        <w:tc>
          <w:tcPr>
            <w:tcW w:w="486" w:type="dxa"/>
            <w:vAlign w:val="center"/>
          </w:tcPr>
          <w:p w14:paraId="263FC452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vAlign w:val="center"/>
          </w:tcPr>
          <w:p w14:paraId="775B49B0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«Формирование современной городской среды на территории Златоустовского городского округа»</w:t>
            </w:r>
          </w:p>
        </w:tc>
        <w:tc>
          <w:tcPr>
            <w:tcW w:w="1244" w:type="dxa"/>
            <w:vAlign w:val="center"/>
          </w:tcPr>
          <w:p w14:paraId="0426E538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№70 от 24.07.2024</w:t>
            </w:r>
          </w:p>
        </w:tc>
        <w:tc>
          <w:tcPr>
            <w:tcW w:w="3355" w:type="dxa"/>
            <w:vAlign w:val="center"/>
          </w:tcPr>
          <w:p w14:paraId="6334479E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№223-П/АДМ от 12.08.2024 рекомендации КСП ЗГО учтены</w:t>
            </w:r>
          </w:p>
        </w:tc>
      </w:tr>
      <w:tr w:rsidR="008C74E5" w:rsidRPr="008C74E5" w14:paraId="52E6C26E" w14:textId="77777777" w:rsidTr="00833F9D">
        <w:tc>
          <w:tcPr>
            <w:tcW w:w="486" w:type="dxa"/>
            <w:vAlign w:val="center"/>
          </w:tcPr>
          <w:p w14:paraId="5DEC2581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vAlign w:val="center"/>
          </w:tcPr>
          <w:p w14:paraId="4767B475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17.11.2022 №499-П/АДМ «Об утверждении муниципальной программы Златоустовского городского округа «Управление муниципальным имуществом»</w:t>
            </w:r>
          </w:p>
        </w:tc>
        <w:tc>
          <w:tcPr>
            <w:tcW w:w="1244" w:type="dxa"/>
            <w:vAlign w:val="center"/>
          </w:tcPr>
          <w:p w14:paraId="7082CA3D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№71 от 24.07.2024</w:t>
            </w:r>
          </w:p>
        </w:tc>
        <w:tc>
          <w:tcPr>
            <w:tcW w:w="3355" w:type="dxa"/>
            <w:vAlign w:val="center"/>
          </w:tcPr>
          <w:p w14:paraId="649568EA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№235-П/АДМ от 20.08.2024 рекомендации КСП ЗГО учтены</w:t>
            </w:r>
          </w:p>
        </w:tc>
      </w:tr>
      <w:tr w:rsidR="008C74E5" w:rsidRPr="008C74E5" w14:paraId="7221AA54" w14:textId="77777777" w:rsidTr="00833F9D">
        <w:tc>
          <w:tcPr>
            <w:tcW w:w="486" w:type="dxa"/>
            <w:vAlign w:val="center"/>
          </w:tcPr>
          <w:p w14:paraId="79BDE59A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vAlign w:val="center"/>
          </w:tcPr>
          <w:p w14:paraId="051E3784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28.11.2019 №461-П «Об утверждении муниципальной программы Златоустовского городского округа «Социальная защита населения Златоустовского городского округа»</w:t>
            </w:r>
          </w:p>
        </w:tc>
        <w:tc>
          <w:tcPr>
            <w:tcW w:w="1244" w:type="dxa"/>
            <w:vAlign w:val="center"/>
          </w:tcPr>
          <w:p w14:paraId="73446C16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№74 от 01.08.2024</w:t>
            </w:r>
          </w:p>
        </w:tc>
        <w:tc>
          <w:tcPr>
            <w:tcW w:w="3355" w:type="dxa"/>
            <w:vAlign w:val="center"/>
          </w:tcPr>
          <w:p w14:paraId="22F37D7B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№234-П/АДМ от 20.08.2024 рекомендации КСП ЗГО учтены</w:t>
            </w:r>
          </w:p>
        </w:tc>
      </w:tr>
      <w:tr w:rsidR="008C74E5" w:rsidRPr="008C74E5" w14:paraId="543F3F72" w14:textId="77777777" w:rsidTr="00833F9D">
        <w:tc>
          <w:tcPr>
            <w:tcW w:w="486" w:type="dxa"/>
            <w:vAlign w:val="center"/>
          </w:tcPr>
          <w:p w14:paraId="10903FC5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2" w:type="dxa"/>
            <w:vAlign w:val="center"/>
          </w:tcPr>
          <w:p w14:paraId="08EB27BC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№507-П/АДМ «Об утверждении муниципальной программы Златоустовского городского округа «Развитие образования и молодежной политики ЗГО»</w:t>
            </w:r>
          </w:p>
        </w:tc>
        <w:tc>
          <w:tcPr>
            <w:tcW w:w="1244" w:type="dxa"/>
            <w:vAlign w:val="center"/>
          </w:tcPr>
          <w:p w14:paraId="40600F7E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№81 от 04.09.2024</w:t>
            </w:r>
          </w:p>
        </w:tc>
        <w:tc>
          <w:tcPr>
            <w:tcW w:w="3355" w:type="dxa"/>
            <w:vAlign w:val="center"/>
          </w:tcPr>
          <w:p w14:paraId="403F3774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№251-П/АДМ от 13.09.2024 рекомендации КСП ЗГО учтены</w:t>
            </w:r>
          </w:p>
        </w:tc>
      </w:tr>
      <w:tr w:rsidR="008C74E5" w:rsidRPr="008C74E5" w14:paraId="56FFB7CD" w14:textId="77777777" w:rsidTr="00833F9D">
        <w:tc>
          <w:tcPr>
            <w:tcW w:w="486" w:type="dxa"/>
            <w:vAlign w:val="center"/>
          </w:tcPr>
          <w:p w14:paraId="1971DE3F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2" w:type="dxa"/>
            <w:vAlign w:val="center"/>
          </w:tcPr>
          <w:p w14:paraId="4067C498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№508-П/АДМ «Об утверждении муниципальной программы Златоустовского городского округа «Охрана окружающей среды в ЗГО»</w:t>
            </w:r>
          </w:p>
        </w:tc>
        <w:tc>
          <w:tcPr>
            <w:tcW w:w="1244" w:type="dxa"/>
            <w:vAlign w:val="center"/>
          </w:tcPr>
          <w:p w14:paraId="67EDCD6A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№82 от 06.09.2024</w:t>
            </w:r>
          </w:p>
        </w:tc>
        <w:tc>
          <w:tcPr>
            <w:tcW w:w="3355" w:type="dxa"/>
            <w:vAlign w:val="center"/>
          </w:tcPr>
          <w:p w14:paraId="28EE3F50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№258-П/АДМ от 18.09.2024 рекомендации КСП ЗГО </w:t>
            </w: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(недостоверная информация по объему финансирования)</w:t>
            </w:r>
          </w:p>
        </w:tc>
      </w:tr>
      <w:tr w:rsidR="008C74E5" w:rsidRPr="008C74E5" w14:paraId="4B73627B" w14:textId="77777777" w:rsidTr="00833F9D">
        <w:tc>
          <w:tcPr>
            <w:tcW w:w="486" w:type="dxa"/>
            <w:vAlign w:val="center"/>
          </w:tcPr>
          <w:p w14:paraId="2B3B2836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2" w:type="dxa"/>
            <w:vAlign w:val="center"/>
          </w:tcPr>
          <w:p w14:paraId="1782794F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№505-П/АДМ «Об утверждении муниципальной программы Златоустовского городского округа «Развитие физической культуры и спорта в ЗГО»</w:t>
            </w:r>
          </w:p>
        </w:tc>
        <w:tc>
          <w:tcPr>
            <w:tcW w:w="1244" w:type="dxa"/>
            <w:vAlign w:val="center"/>
          </w:tcPr>
          <w:p w14:paraId="03748F70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№84 от 10.09.2024</w:t>
            </w:r>
          </w:p>
        </w:tc>
        <w:tc>
          <w:tcPr>
            <w:tcW w:w="3355" w:type="dxa"/>
            <w:vAlign w:val="center"/>
          </w:tcPr>
          <w:p w14:paraId="29AF76F5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постановлении Администрации ЗГО №252-П/АДМ от 17.09.2024 рекомендации КСП ЗГО учтены</w:t>
            </w:r>
          </w:p>
        </w:tc>
      </w:tr>
      <w:tr w:rsidR="008C74E5" w:rsidRPr="008C74E5" w14:paraId="0187136A" w14:textId="77777777" w:rsidTr="00833F9D">
        <w:tc>
          <w:tcPr>
            <w:tcW w:w="486" w:type="dxa"/>
            <w:vAlign w:val="center"/>
          </w:tcPr>
          <w:p w14:paraId="2495DB7B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2" w:type="dxa"/>
            <w:vAlign w:val="center"/>
          </w:tcPr>
          <w:p w14:paraId="2411CC83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18.11.2022 №505-П «Об утверждении муниципальной программы Златоустовского городского округа «Профилактика правонарушений и противодействие терроризму в ЗГО»</w:t>
            </w:r>
          </w:p>
        </w:tc>
        <w:tc>
          <w:tcPr>
            <w:tcW w:w="1244" w:type="dxa"/>
            <w:vAlign w:val="center"/>
          </w:tcPr>
          <w:p w14:paraId="59DF745C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№87 от 20.09.2024</w:t>
            </w:r>
          </w:p>
        </w:tc>
        <w:tc>
          <w:tcPr>
            <w:tcW w:w="3355" w:type="dxa"/>
            <w:vAlign w:val="center"/>
          </w:tcPr>
          <w:p w14:paraId="6C7FE528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№261-П/АДМ от 20.09.2024 рекомендации КСП ЗГО </w:t>
            </w:r>
            <w:r w:rsidRPr="008C7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учтены частично</w:t>
            </w: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(проект не соответствует решению о бюджете)</w:t>
            </w:r>
          </w:p>
        </w:tc>
      </w:tr>
      <w:tr w:rsidR="008C74E5" w:rsidRPr="008C74E5" w14:paraId="44108C0F" w14:textId="77777777" w:rsidTr="00833F9D">
        <w:tc>
          <w:tcPr>
            <w:tcW w:w="486" w:type="dxa"/>
            <w:vAlign w:val="center"/>
          </w:tcPr>
          <w:p w14:paraId="360081EE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2" w:type="dxa"/>
            <w:vAlign w:val="center"/>
          </w:tcPr>
          <w:p w14:paraId="4C8558AF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Златоустовского городского округа от 17.11.2023 №427-П/АДМ «Об утверждении муниципальной программы Златоустовского городского округа «Обеспечение качественными услугам жилищно-коммунального хозяйства населения, дорожной деятельности и транспорта Златоустовского городского округа»</w:t>
            </w:r>
          </w:p>
        </w:tc>
        <w:tc>
          <w:tcPr>
            <w:tcW w:w="1244" w:type="dxa"/>
            <w:vAlign w:val="center"/>
          </w:tcPr>
          <w:p w14:paraId="32A812FB" w14:textId="77777777" w:rsidR="008C74E5" w:rsidRPr="008C74E5" w:rsidRDefault="008C74E5" w:rsidP="008C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№88 от 20.09.2024</w:t>
            </w:r>
          </w:p>
        </w:tc>
        <w:tc>
          <w:tcPr>
            <w:tcW w:w="3355" w:type="dxa"/>
            <w:vAlign w:val="center"/>
          </w:tcPr>
          <w:p w14:paraId="74ED061D" w14:textId="77777777" w:rsidR="008C74E5" w:rsidRPr="008C74E5" w:rsidRDefault="008C74E5" w:rsidP="008C74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постановлении Администрации ЗГО №356-П/АДМ от 01.10.2024 рекомендации КСП ЗГО </w:t>
            </w:r>
            <w:r w:rsidRPr="008C7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учтены </w:t>
            </w:r>
          </w:p>
        </w:tc>
      </w:tr>
    </w:tbl>
    <w:p w14:paraId="49D9E94D" w14:textId="77777777" w:rsidR="008C74E5" w:rsidRPr="008C74E5" w:rsidRDefault="008C74E5" w:rsidP="008C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D7FE3F" w14:textId="77777777" w:rsidR="008C74E5" w:rsidRPr="008C74E5" w:rsidRDefault="008C74E5" w:rsidP="008C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устранено 7 нарушений Порядка разработки муниципальных программ из 8 выявленных нарушений, подлежащих устранению, что составляет 87,5%.</w:t>
      </w:r>
    </w:p>
    <w:p w14:paraId="31D36F5F" w14:textId="77777777" w:rsidR="007A7D8C" w:rsidRPr="00786114" w:rsidRDefault="007A7D8C" w:rsidP="007A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4B02" w14:textId="77777777" w:rsidR="007A7D8C" w:rsidRDefault="007A7D8C" w:rsidP="007A7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1D1A0" w14:textId="6983B6EC" w:rsidR="0099758F" w:rsidRPr="007A7D8C" w:rsidRDefault="007A7D8C" w:rsidP="00C47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  <w:bookmarkStart w:id="2" w:name="_GoBack"/>
      <w:bookmarkEnd w:id="2"/>
    </w:p>
    <w:sectPr w:rsidR="0099758F" w:rsidRPr="007A7D8C" w:rsidSect="007A7D8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8C"/>
    <w:rsid w:val="002F780D"/>
    <w:rsid w:val="00712ECC"/>
    <w:rsid w:val="007A7D8C"/>
    <w:rsid w:val="00833F9D"/>
    <w:rsid w:val="008C74E5"/>
    <w:rsid w:val="0099758F"/>
    <w:rsid w:val="009A4A45"/>
    <w:rsid w:val="00A708AD"/>
    <w:rsid w:val="00AE0166"/>
    <w:rsid w:val="00C479F4"/>
    <w:rsid w:val="00E62992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8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2024-10-09T10:10:00Z</dcterms:created>
  <dcterms:modified xsi:type="dcterms:W3CDTF">2024-10-09T12:06:00Z</dcterms:modified>
</cp:coreProperties>
</file>